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197</w:t>
      </w:r>
    </w:p>
    <w:p>
      <w:r>
        <w:t>Bundesgericht (BGE), 2015-04-28, DE</w:t>
      </w:r>
    </w:p>
    <w:p>
      <w:r>
        <w:rPr>
          <w:b/>
        </w:rPr>
        <w:t xml:space="preserve">Quelle: </w:t>
      </w:r>
      <w:r>
        <w:t>https://mcp.opencaselaw.ch/entscheid/bge_141 V 197</w:t>
      </w:r>
    </w:p>
    <w:p>
      <w:r>
        <w:t>FR: ATF 141 V 197</w:t>
      </w:r>
    </w:p>
    <w:p>
      <w:r>
        <w:t>IT: DTF 141 V 197</w:t>
      </w:r>
    </w:p>
    <w:p>
      <w:pPr>
        <w:pStyle w:val="Heading2"/>
      </w:pPr>
      <w:r>
        <w:t>Regeste</w:t>
      </w:r>
    </w:p>
    <w:p>
      <w:r>
        <w:t>Regeste Art. 3 Abs. 2 und 3 FZG; Rückerstattung der Austrittsleistung. Die frühere Vorsorgeeinrichtung, welche Invalidenleistungen erbringt, nachdem sie die Austrittsleistung an eine Freizügigkeitseinrichtung überwiesen hat, muss die Rückerstattung der Austrittsleistung durch die Freizügigkeitseinrichtung nicht erzwingen (E. 5.3).</w:t>
      </w:r>
    </w:p>
    <w:p>
      <w:pPr>
        <w:pStyle w:val="Heading2"/>
      </w:pPr>
      <w:r>
        <w:t>Erwägungen</w:t>
      </w:r>
    </w:p>
    <w:p>
      <w:r>
        <w:rPr>
          <w:b/>
        </w:rPr>
        <w:t>E. 2.1</w:t>
      </w:r>
    </w:p>
    <w:p>
      <w:r>
        <w:t>Treten Versicherte in eine neue Vorsorgeeinrichtung ein, hat die frühere Vorsorgeeinrichtung die Austrittsleistung an die neue zu überweisen ( Art. 3 Abs. 1 FZG [SR 831.42]). Versicherte, die nicht in eine neue Vorsorgeeinrichtung eintreten, haben ihrer Vorsorgeeinrichtung mitzuteilen, in welcher zulässigen Form sie den Vorsorgeschutz erhalten wollen ( Art. 4 Abs. 1 FZG ). Der Vorsorgeschutz BGE 141 V 197 S. 200 kann durch eine Freizügigkeitspolice oder durch ein Freizügigkeitskonto erhalten werden ( Art. 10 Abs. 1 FZV [SR 831.425]).</w:t>
      </w:r>
    </w:p>
    <w:p>
      <w:r>
        <w:rPr>
          <w:b/>
        </w:rPr>
        <w:t>E. 2.2</w:t>
      </w:r>
    </w:p>
    <w:p>
      <w:r>
        <w:t>Muss die frühere Vorsorgeeinrichtung Hinterlassenen- oder Invalidenleistungen erbringen, nachdem sie die Austrittsleistung an eine neue Vorsorgeeinrichtung überwiesen hat, ist ihr diese Austrittsleistung soweit zurückzuerstatten, als dies zur Auszahlung der Hinterlassenen- oder Invalidenleistungen notwendig ist ( Art. 3 Abs. 2 FZG ). Die Hinterlassenen- und Invalidenleistungen der früheren Vorsorgeeinrichtung können gekürzt werden, soweit eine Rückerstattung unterbleibt ( Art. 3 Abs. 3 FZG ).</w:t>
      </w:r>
    </w:p>
    <w:p>
      <w:r>
        <w:rPr>
          <w:b/>
        </w:rPr>
        <w:t>E. 2.3</w:t>
      </w:r>
    </w:p>
    <w:p>
      <w:r>
        <w:t>Die vorzeitige Auszahlung der Altersleistung aus Freizügigkeitspolicen an Versicherte, die eine volle Invalidenrente der Invalidenversicherung beziehen, ist zulässig, sofern das Invaliditätsrisiko nicht zusätzlich versichert ist (vgl. Art. 16 Abs. 2 FZV ).</w:t>
      </w:r>
    </w:p>
    <w:p>
      <w:r>
        <w:rPr>
          <w:b/>
        </w:rPr>
        <w:t>E. 3.1</w:t>
      </w:r>
    </w:p>
    <w:p>
      <w:r>
        <w:t>Nach den verbindlichen vorinstanzlichen Feststellungen wurde die Austrittsleistung der Versicherten nach Beendigung des Vorsorgeverhältnisses (Austritt per 30. Juni 2005) weisungsgemäss zur Errichtung der Freizügigkeitspolice Nr. x bei der Winterthur Leben verwendet und es kann der Beschwerdegegnerin in diesem Zusammenhang nichts vorgeworfen werden. Des Weitern hat die Vorinstanz ebenfalls verbindlich festgestellt, dass im hier zu beurteilenden Fall im Rahmen der Freizügigkeitspolice eine zusätzliche Versicherung nur für das Todes- und nicht auch für das Invaliditätsrisiko bestand (Freizügigkeitspolice Nr. x; Allgemeine Bestimmungen für die Freizügigkeitspolice, Ausgabe 2005). Dementsprechend stand der vorzeitigen Auszahlung des Alterskapitals (Auflösung der Freizügigkeitspolice) auf Begehren der Versicherten grundsätzlich nichts entgegen (vgl. E. 2.3). Weiter steht fest, dass die Beschwerdegegnerin, obwohl ihr die Austrittsleistung nicht zurückerstattet worden ist, der Beschwerdeführerin ab 1. Mai 2006 eine (ungekürzte) Invalidenrente von Fr. 16'843.- pro Jahr ausrichtet.</w:t>
      </w:r>
    </w:p>
    <w:p>
      <w:r>
        <w:rPr>
          <w:b/>
        </w:rPr>
        <w:t>E. 3.2</w:t>
      </w:r>
    </w:p>
    <w:p>
      <w:r>
        <w:t>Die Beschwerdeführerin will hinsichtlich ihres Anspruchs auf eine Altersrente der Beschwerdegegnerin so gestellt werden, wie wenn die Auszahlung des Alterskapitals von Fr. 54'470.90 (Auflösung der Freizügigkeitspolice) nie stattgefunden hätte. Dies rechtfertigt sich ihrer Auffassung nach, weil die Auszahlung von Fr. 54'470.90 an C. am 23. Oktober 2006 zu Unrecht erfolgt sei. Die Beschwerdeführerin leitet daraus ab, dass ihr der Betrag von Fr. 54'470.90 (zuzüglich gesetzliche und reglementarisch-statutarische Verzinsung) BGE 141 V 197 S. 201 gutzuschreiben und bei Eintritt des Pensionsalters auf dieser Grundlage eine Altersrente auszurichten sei (Hauptantrag) oder dass zumindest festzustellen sei, dass die Auszahlung vom 23. Oktober 2006 an ihrem Altersrentenanspruch nichts geändert habe (Eventualantrag).</w:t>
      </w:r>
    </w:p>
    <w:p>
      <w:r>
        <w:rPr>
          <w:b/>
        </w:rPr>
        <w:t>E. 4.1</w:t>
      </w:r>
    </w:p>
    <w:p>
      <w:r>
        <w:t>Die Vorinstanz erwog, A. habe nach ihren eigenen Angaben das Vollmachtsformular sowie das Formular zur Auszahlung des Alterskapitals blanko unterschrieben. Soweit sie die Auszahlung an C. nicht habe erwirken wollen, liege ein Blankettmissbrauch vor und es stelle sich die Frage, ob die Winterthur Leben als Freizügigkeitseinrichtung annehmen durfte, dass der erweckte Rechtsschein der wahren Sachlage entspreche, mithin ob sie als gutgläubig behandelt werden könne. Es beständen keine Anhaltspunkte, dass die Winterthur Leben im Zeitpunkt der Auszahlung der Altersleistung nicht gutgläubig gewesen wäre, und es seien keine Umstände ersichtlich, dass die Winterthur Leben die gebotene Aufmerksamkeit habe vermissen lassen. Damit sei die Auszahlung nicht zu beanstanden und würde eine Rückforderung bereits an diesem Umstand scheitern. Zudem bestehe keine Grundlage, die Beschwerdegegnerin zur Rückforderung der Austrittsleistung zu verpflichten. Ebenso wenig könne sie angehalten werden, dem Alterskonto das an die Freizügigkeitseinrichtung übertragene Alterskapital wieder gutzuschreiben. Soweit die Klage auf Feststellung der Höhe der Altersrente abziele, fehle es an einem aktuellen Feststellungsinteresse, erreiche doch A. das Pensionsalter erst im Jahre 2032. Mangels widerrechtlichen Verhaltens der Vorsorgeeinrichtung bestehe auch keine Grundlage für die geltend gemachte Schadenersatzforderung.</w:t>
      </w:r>
    </w:p>
    <w:p>
      <w:r>
        <w:rPr>
          <w:b/>
        </w:rPr>
        <w:t>E. 4.2</w:t>
      </w:r>
    </w:p>
    <w:p>
      <w:r>
        <w:t>In der Beschwerde wird geltend gemacht, die Beschwerdegegnerin verletze, indem sie nach Auszahlung des Freizügigkeitsguthabens an einen unberechtigten Dritten die Gutschreibung des Betrages in Bezug auf die Altersrente verweigere, ihre vertraglichen Pflichten. Die Vorinstanz missachte die Rechtslage, wenn sie von einer Exkulpation der Beschwerdegegnerin (recte: der Winterthur Leben) wegen guten Glaubens ausgehe, eine Beweislastumkehr zulasten der Beschwerdeführerin vornehme und dabei unberücksichtigt lasse, dass die Beschwerdegegnerin Bemühungen um eine sorgfältige Vertragserfüllung nicht darzulegen vermöge. Selbst wenn eine Anscheinshaftung zur Diskussion stände, wäre eine Entlastung nur unter sehr strengen Voraussetzungen und unter massgeblicher BGE 141 V 197 S. 202 Berücksichtigung der bei Vertragsverhältnissen geltenden Beweislastverteilung möglich: Die Beschwerdegegnerin müsste alles in ihrer Macht Stehende vorgekehrt haben und ihren Pflichten aus durchwegs entschuldbaren Gründen nicht nachgekommen sein. Eine Vollmachtsurkunde alleine vermöge die Anscheinshaftung noch nicht zu begründen. Denn nach der Lehre müssten, wenn der Vertretene passiv bzw. unsichtbar bleibe, zusätzliche hinreichende objektive Umstände bestehen, aus denen der Dritte auf die Bevollmächtigung des Vertreters bzw. auf den Willen der Auszahlung schliessen dürfe. Es verletze Bundesrecht, den Anspruch auf rechtliches Gehör und die Begründungspflicht, dass die Vorinstanz ohne rechtsgenügliche Auseinandersetzung mit der Sach- und der Rechtslage und ohne Würdigung der vorgebrachten Argumente annehme, "die Beschwerdeführerin habe durch ihre Unterschriften den Rechtsschein einer rechtsgültigen Vertretung in anrechenbarer Weise geschaffen". Aufgrund ihrer gesundheitlichen Einschränkungen - seit Jahren leide sie an Depressionen mit psychotischen Schüben - und ihrer mangelnden Fachkenntnisse habe die Beschwerdeführerin keine Ahnung von den effektiven Vorgängen gehabt; diese wären von ihr niemals gutgeheissen worden und könnten ihr auch im Rahmen einer Anscheinsvollmacht nicht zugerechnet werden.</w:t>
      </w:r>
    </w:p>
    <w:p>
      <w:r>
        <w:rPr>
          <w:b/>
        </w:rPr>
        <w:t>E. 5</w:t>
      </w:r>
    </w:p>
    <w:p>
      <w:r>
        <w:t>Streitig und zu prüfen ist, ob die Beschwerdegegnerin dazu verpflichtet werden kann, die an die Winterthur Leben (heute: AXA Leben AG) transferierten Altersleistungen wieder gutzuschreiben und ihre Leistungen - den Vorsorgefall Alter betreffend - gestützt auf das "ganze" Altersguthaben zu erbringen, wie dies die Beschwerdeführerin sinngemäss beantragt.</w:t>
      </w:r>
    </w:p>
    <w:p>
      <w:r>
        <w:rPr>
          <w:b/>
        </w:rPr>
        <w:t>E. 5.1</w:t>
      </w:r>
    </w:p>
    <w:p>
      <w:r>
        <w:t>Die Winterthur Leben als Freizügigkeitseinrichtung, an welche die Austrittsleistung Ende Juni 2005 überwiesen worden war, hat die Austrittsleistung nicht zurückerstattet, weil sich diese seit der vorzeitigen Auszahlung des Alterskapitals (Auflösung der Freizügigkeitspolice) am 23. Oktober 2006 nicht mehr bei ihr befand. Eingeklagt hat die Versicherte indessen nicht die Winterthur Leben, welche die Altersleistung gestützt auf Art. 16 Abs. 2 FZV vorzeitig auszahlte, sondern die Sammelstiftung, von welcher die Versicherte Altersleistungen verlangt, wie wenn die Auszahlung vom 23. Oktober 2006 nie stattgefunden hätte. In diesem von der Versicherten gegen die Sammelstiftung (und nicht gegen die Freizügigkeitseinrichtung) eingeleiteten Prozess stellt sich die Frage, ob die Sammelstiftung die Rückerstattung der Austrittsleistung durch die Freizügigkeitseinrichtung erzwingen muss. BGE 141 V 197 S. 203</w:t>
      </w:r>
    </w:p>
    <w:p>
      <w:r>
        <w:rPr>
          <w:b/>
        </w:rPr>
        <w:t>E. 5.2</w:t>
      </w:r>
    </w:p>
    <w:p>
      <w:r>
        <w:t>Ausgangspunkt jeder Auslegung bildet der Wortlaut der Bestimmung. Vom klaren, das heisst eindeutigen und unmissverständlichen Wortlaut darf nur ausnahmsweise abgewichen werden, unter anderem dann, wenn triftige Gründe dafür vorliegen, dass der Wortlaut nicht den wahren Sinn der Norm wiedergibt. Solche Gründe können sich aus der Entstehungsgeschichte der Bestimmung, aus ihrem Sinn und Zweck oder aus dem Zusammenhang mit andern Vorschriften ergeben. Eine historisch orientierte Auslegung ist für sich allein nicht entscheidend. Doch vermag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ergänzt ( BGE 138 III 359 E. 6.2 S. 361; BGE 138 V 23 E. 3.4.1 S. 28).</w:t>
      </w:r>
    </w:p>
    <w:p>
      <w:r>
        <w:rPr>
          <w:b/>
        </w:rPr>
        <w:t>E. 5.3</w:t>
      </w:r>
    </w:p>
    <w:p>
      <w:r>
        <w:t>Der Wortlaut des Art. 3 Abs. 2 FZG , wonach der früheren Vorsorgeeinrichtung im Falle ihrer Leistungspflicht für Hinterlassenen- oder Invalidenleistungen nach Überweisung der Austrittsleistung "diese Austrittsleistung soweit zurückzuerstatten [ist], als dies zur Auszahlung von Hinterlassenen- oder Invalidenleistungen nötig ist" (französisch: "cette dernière prestation doit lui être restituée dans la mesure où la restitution est nécessaire pour accorder le paiement de prestations d'invalidité ou pour survivants", italienisch: "quest'ultima prestazione dev'essergli restituita nella misura in cui la restituzione sia necessaria per accordare il pagamento delle prestazioni d'invalidità o per superstiti"), lässt offen, wer die Austrittsleistung zurückerstatten soll. In der Botschaft findet sich der Hinweis, dass das vor Inkrafttreten des FZG geltende Recht dem Vorsorgenehmer eine Rückerstattungspflicht auferlegte und dies mit dem FZG dahingehend geändert werden sollte, dass nunmehr die neue Vorsorgeeinrichtung, welcher die alte Vorsorgeeinrichtung die Austrittsleistung überweisen muss, die Austrittsleistung soll zurückgeben können. Wer die Austrittsleistung zurückerstatten soll, bleibe offen (Botschaft vom 26. Februar 1992 zu einem Bundesgesetz über die Freizügigkeit in der beruflichen Alters-, Hinterlassenen- und Invalidenvorsorge, BBl 1992 533 ff., 573 f. Ziff. 632.2). Eine dem heutigen Art. 3 Abs. 2 FZG entsprechende Regelung war im bundesrätlichen Gesetzesentwurf noch nicht enthalten (Art. 3 Abs. 2 des bundesrätlichen Entwurfs regelte eine andere Frage). Erst im BGE 141 V 197 S. 204 Verlaufe der parlamentarischen Beratungen wurde darüber diskutiert, wen eine Rückerstattungspflicht trifft. Dabei war ursprünglich eine Rückerstattungspflicht der neuen Vorsorgeeinrichtung vorgesehen (AB 1992 N 2432; Protokoll der Sitzung der nationalrätlichen Kommission für soziale Sicherheit und Gesundheit vom 20.-22. Mai 1992, S. 12 f.), die später in eine allgemeine Rückerstattungspflicht entsprechend dem heutigen Gesetzeswortlaut und der Intention des Bundesrates, d.h. ohne Nennung des Verpflichteten, umformuliert wurde (AB 1993 S 560 f.). Im Normalfall wird die Leistung von demjenigen zurückerstattet, der sie erhalten hat, d.h. von der neuen Vorsorgeeinrichtung ( Art. 3 Abs. 1 FZG ), allenfalls von der Auffangeinrichtung ( Art. 4 Abs. 2 FZG ) oder einer Freizügigkeitseinrichtung ( Art. 4 Abs. 1 FZG ; Art. 10 FZV ). Die Rückerstattung kann auch durch andere Personen, namentlich die versicherte Person selbst, erbracht werden. Für die frühere Vorsorgeeinrichtung spielt es weder rechtlich noch versicherungstechnisch eine Rolle, wer die Austrittsleistung zurückerstattet. Sinn und Zweck der Rückerstattung ist es, die frühere Vorsorgeeinrichtung versicherungstechnisch so zu stellen, wie sie es zur Erfüllung ihrer Leistungspflicht sein muss. Mit anderen Worten wird damit die Situation wiederhergestellt, die aus der Optik der früheren Vorsorgeeinrichtung wie auch des Versicherten richtigerweise im Zeitpunkt des Austritts bestanden hätte, wenn die Leistungspflicht bereits damals bekannt gewesen wäre, indem die frühere Vorsorgeeinrichtung das Deckungskapital erhält, das notwendig ist, um die geschuldeten Leistungen zu erbringen (zum Ganzen: BGE 135 V 13 E. 3.6.3 und 3.6.4 S. 22). Ebenso wenig wie Art. 3 Abs. 2 FZG den Rückerstattungspflichtigen bestimmt, regelt die Norm die damit eng zusammenhängende Frage, ob (und allenfalls wie) die Pflicht zur Rückerstattung durchgesetzt werden kann bzw. muss. Wie sich aus Art. 3 Abs. 3 FZG ergibt, rechnete der Gesetzgeber denn auch mit dem Fall, dass die Rückerstattungspflicht nicht erfüllt wird. Er sah hierfür vor, dass die frühere Vorsorgeeinrichtung, "soweit eine Rückerstattung unterbleibt" (französisch: "pour autant qu'il n'y ait pas de restitution"; italienisch: "sempre che non vi sia stata restituzione"), die Hinterlassenen- und Invalidenleistungen kürzen kann (vgl. auch Botschaft, a.a.O., 574 Ziff. 632.2), wobei nach den Materialien auch eine Kürzung der (eine Invalidenrente ablösenden) Altersleistungen zulässig sein soll (AB 1993 S 561; siehe auch AB 1993 N 1698; Protokoll BGE 141 V 197 S. 205 der Sitzung der ständerätlichen Kommission für soziale Sicherheit und Gesundheit vom 17. Mai 1993, S. 3). Zusammenfassend ergibt sich, dass Art. 3 Abs. 2 FZG vom Wortlaut, von der Entstehungsgeschichte, von der Systematik sowie vom Sinn und Zweck her dahingehend zu verstehen ist, dass die frühere Vorsorgeeinrichtung die Rückerstattung nicht erzwingen kann und auch nicht erzwingen muss. Vielmehr besteht für sie allein die Möglichkeit, die fehlende Rückerstattung mit einer Leistungskürzung zu sanktionieren. Diese Auffassung wird im Übrigen auch in der Lehre vertreten (vgl. HERMANN WALSER, in: BVG und FZG, Schneider/Geiser/Gächter [Hrsg.], 2010, N. 7f. zu Art. 3 FZG ).</w:t>
      </w:r>
    </w:p>
    <w:p>
      <w:r>
        <w:rPr>
          <w:b/>
        </w:rPr>
        <w:t>E. 5.4</w:t>
      </w:r>
    </w:p>
    <w:p>
      <w:r>
        <w:t>Im hier zu beurteilenden Fall hat die in E. 5.3 dargelegte Rechtslage zur Folge, dass die Beschwerdegegnerin nicht verpflichtet werden kann, von der Winterthur Leben die Rückerstattung der an sie übertragenen Austrittsleistung zu verlangen und diese der Versicherten wieder gutzuschreiben. Ebenso wenig besteht damit eine Pflicht der Beschwerdegegnerin, bei Eintritt des Vorsorgefalles "Alter" Leistungen auf der Grundlage des "ganzen" Altersguthabens zu erbringen, wie dies die Beschwerdeführerin beantragt. Demnach hat die Vorinstanz die Rechtsbegehren der Beschwerdeführerin - auf Gutschreibung des Betrages von Fr. 54'470.90 und Ausrichtung einer Altersrente auf dieser Grundlage (bei Eintritt des Pensionsalters), eventualiter auf Feststellung, dass die Auszahlung von Fr. 54'470.90 an ihrem Anspruch betreffend das Vorsorgeguthaben und am Altersrentenanspruch nichts geändert habe - zu Recht abgewiesen. Weiterungen bezüglich des erforderlichen Rechtsschutz- bzw. Feststellungsinteresses erübrigen sich damit.</w:t>
      </w:r>
    </w:p>
    <w:p>
      <w:r>
        <w:rPr>
          <w:b/>
        </w:rPr>
        <w:t>E. 5.5</w:t>
      </w:r>
    </w:p>
    <w:p>
      <w:r>
        <w:t>Bei dieser Sachlage ist auch nicht zu beanstanden, dass der Beschwerdeführerin im angefochtenen Entscheid keine Parteientschädigung - von ihr als Schadenersatzforderung in der Höhe von Fr. 24'256.90 geltend gemacht - zugesprochen wurde.</w:t>
      </w:r>
    </w:p>
    <w:p>
      <w:r>
        <w:rPr>
          <w:b/>
        </w:rPr>
        <w:t>E. 5.6</w:t>
      </w:r>
    </w:p>
    <w:p>
      <w:r>
        <w:t>Der Vollständigkeit halber sei erwähnt, dass es der Beschwerdeführerin freisteht, die Austrittsleistung mit eigenen Mitteln wieder einzubringen (vgl. E. 5.3; BGE 135 V 13 E. 3.6.3 S. 22), um die entstandene Vorsorgelücke zu schliessen. Darüber hat sie die Beschwerdegegnerin bereits mit Schreiben vom 30. Juni 2011 informiert. Eine weitere Möglichkeit besteht für die Beschwerdeführerin grundsätzlich darin, die heutige AXA Leben AG auf die (Rück-)Überweisung des Altersguthabens einzuklagen. Allein in diesem Prozess wäre die in den kantonalen Rechtsschriften und in der BGE 141 V 197 S. 206 letztinstanzlichen Beschwerde zentral abgehandelte Frage zu prüfen, ob die damalige Winterthur Leben das Altersguthaben gestützt auf die von der Beschwerdeführerin unbestrittenermassen blanko unterzeichneten Dokumente (Vollmacht und Auszahlungsformular) am 23. Oktober 2006 zu Recht an C. ausbezahlt hat. Dabei rechtfertigt sich allerdings bereits heute ein Hinweis darauf, dass das Bundesgericht sich im Urteil 9C_141/2014 vom 26. November 2014 mit einem ähnlich gelagerten Sachverhalt zu befassen hatte. Es erwog, wer eine Blankovollmacht ausstelle, trage das Risiko, dass diese abredewidrig - der damals Bevollmächtigte ergänzte eigenmächtig, dass die Auszahlung auf ein von ihm bestimmtes Drittkonto erfolgen solle - ausgefüllt wird. Die (damals am Recht stehende) Versicherte habe mit der Ausstellung einer Blankovollmacht einen objektiv beachtlichen, ihr zurechenbaren Rechtsschein gesetzt, welcher dazu geführt habe, dass die Vorsorgeeinrichtung den Dritten für berechtigt gehalten habe, die Leistung entgegenzunehmen; sie habe darauf vertrauen dürfen. Dementsprechend hat das Bundesgericht der damaligen Auszahlung des Guthabens gestützt auf die erteilte Blankovollmacht befreiende Wirkung zuerkannt (genanntes Urteil 9C_141/2014 E. 4.3 und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